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E78E1" w:rsidRPr="007331BD" w:rsidRDefault="002F0C19">
      <w:pPr>
        <w:jc w:val="center"/>
        <w:rPr>
          <w:rFonts w:asciiTheme="minorBidi" w:eastAsia="Angsana New" w:hAnsiTheme="minorBidi" w:cstheme="minorBidi"/>
          <w:b/>
          <w:sz w:val="32"/>
          <w:szCs w:val="32"/>
        </w:rPr>
      </w:pPr>
      <w:bookmarkStart w:id="0" w:name="_GoBack"/>
      <w:bookmarkEnd w:id="0"/>
      <w:r w:rsidRPr="007331BD">
        <w:rPr>
          <w:rFonts w:asciiTheme="minorBidi" w:eastAsia="Angsana New" w:hAnsiTheme="minorBidi" w:cstheme="minorBidi"/>
          <w:b/>
          <w:bCs/>
          <w:sz w:val="32"/>
          <w:szCs w:val="32"/>
          <w:cs/>
        </w:rPr>
        <w:t xml:space="preserve">แบบบทคัดย่อ  งานพัฒนาคุณภาพ </w:t>
      </w:r>
      <w:r w:rsidRPr="007331BD">
        <w:rPr>
          <w:rFonts w:asciiTheme="minorBidi" w:eastAsia="Angsana New" w:hAnsiTheme="minorBidi" w:cstheme="minorBidi"/>
          <w:b/>
          <w:sz w:val="32"/>
          <w:szCs w:val="32"/>
        </w:rPr>
        <w:t xml:space="preserve">(Continuous Quality </w:t>
      </w:r>
      <w:proofErr w:type="spellStart"/>
      <w:r w:rsidRPr="007331BD">
        <w:rPr>
          <w:rFonts w:asciiTheme="minorBidi" w:eastAsia="Angsana New" w:hAnsiTheme="minorBidi" w:cstheme="minorBidi"/>
          <w:b/>
          <w:sz w:val="32"/>
          <w:szCs w:val="32"/>
        </w:rPr>
        <w:t>Improvement:CQI</w:t>
      </w:r>
      <w:proofErr w:type="spellEnd"/>
      <w:r w:rsidRPr="007331BD">
        <w:rPr>
          <w:rFonts w:asciiTheme="minorBidi" w:eastAsia="Angsana New" w:hAnsiTheme="minorBidi" w:cstheme="minorBidi"/>
          <w:b/>
          <w:sz w:val="32"/>
          <w:szCs w:val="32"/>
        </w:rPr>
        <w:t>)</w:t>
      </w:r>
    </w:p>
    <w:p w14:paraId="00000002" w14:textId="77777777" w:rsidR="007E78E1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ชื่อผลงาน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การพัฒนารูปแบบการดูแลผู้ป่วยที่มีภาวะถอนพิษสุรา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(Alcohol withdrawal)</w:t>
      </w:r>
    </w:p>
    <w:p w14:paraId="00000003" w14:textId="77777777" w:rsidR="007E78E1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Bidi" w:eastAsia="Angsana New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เจ้าของผลงาน</w:t>
      </w:r>
      <w:r w:rsidRPr="007331BD">
        <w:rPr>
          <w:rFonts w:asciiTheme="minorBidi" w:eastAsia="Angsana New" w:hAnsiTheme="minorBidi" w:cstheme="minorBidi"/>
          <w:b/>
          <w:color w:val="000000"/>
          <w:sz w:val="32"/>
          <w:szCs w:val="32"/>
        </w:rPr>
        <w:t>/</w:t>
      </w:r>
      <w:r w:rsidRPr="007331BD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หน่วยงาน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นางสาว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ศิริวรรณ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  พันธ์สวัสดิ์  หอ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ผู้ป้วย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อายุรก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รรม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ชาย โรงพยาบาลชุมแพ</w:t>
      </w:r>
    </w:p>
    <w:p w14:paraId="3ACF54A1" w14:textId="77777777" w:rsidR="007331BD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บทนำ</w:t>
      </w:r>
      <w:r w:rsidRPr="007331BD">
        <w:rPr>
          <w:rFonts w:asciiTheme="minorBidi" w:eastAsia="Angsana New" w:hAnsiTheme="minorBidi" w:cstheme="minorBidi"/>
          <w:b/>
          <w:color w:val="000000"/>
          <w:sz w:val="32"/>
          <w:szCs w:val="32"/>
        </w:rPr>
        <w:t>/</w:t>
      </w:r>
      <w:r w:rsidRPr="007331BD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ที่มา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  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อายุรก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รรม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ชาย  ให้บริการดูแลรักษาพยาบาลผู้ป่วยทางอายุรก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รรม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เพศชาย ที่มีอายุตั้งแต่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15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ปีขึ้นไป โรคทางด้านอายุรก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รรม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  รวมถึงกลุ่มผู้ป่วยที่มีพฤติกรรมก้าวร้าวควบคุมตนเองไม่ได้จากภาวะถอนพิษสุรา  ในปี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2561-2562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พบว่า มีจำนวนผู้มารับบริการที่มีปัญหาจากการดื่มเครื่องดื่มแอลกอฮอล์แล้วก่อให้เกิดภาวะถอนพิษสุรา เข้ารับบริการ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(admit)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มีจำนวนมากขึ้น  จำนวน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170, 236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ราย ตามลำดับ  เมื่อผู้ป่วยกลุ่มนี้เข้ารับการรักษาในโรงพยาบาล ไม่ว่าจากการเจ็บป่วยทางร่างกายและจิตใจ จำเป็นต้องมีการหยุดดื่มสุรากะทันหัน จึงเป็นสาเหตุที่ทำให้เกิดอาการของการขาดสุราขึ้น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กลุ่มอาการ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Alcohol withdrawal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 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จึงเป็นสาเหตุที่ทำให้เกิดอาการของการขาดสุราขึ้น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 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จากการดูแลผู้ป่วย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Alcohol withdrawal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ที่ผ่านมา พบอุบัติการณ์ความเสี่ยงเกิดขึ้น อาทิ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พลัดตกเตียง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,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บาดเจ็บจาการผูกมัด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,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หนีออกจากโรงพยาบาล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,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อาการกำเริบ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หรือชักเกร็งเป็นระยะๆ  เนื่องจากขาดการประเมินเฝ้าระวังอาการอย่างต่อเนื่อง จากการทบทวนพบว่ายังขาดรูปแบบการดูแลที่มีความต่อเนื่องตั้งแต่ประเมินแรกรับ การประเมินเมื่อเข้าสู่ระยะ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Alcohol withdrawal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 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ต่อเนื่องไปจนถึงการส่ง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Follow up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ติดตามการเลิกสุรา ทำให้ได้มีการพัฒนารูปแบบการดูแลผู้ป่วยที่มีภาวะ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Alcohol withdrawal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หอผู้ป่วยอายุรก</w:t>
      </w:r>
      <w:proofErr w:type="spellStart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รรม</w:t>
      </w:r>
      <w:proofErr w:type="spellEnd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ชายขึ้น </w:t>
      </w:r>
    </w:p>
    <w:p w14:paraId="00000004" w14:textId="3EEE82AC" w:rsidR="007E78E1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b/>
          <w:bCs/>
          <w:color w:val="333333"/>
          <w:sz w:val="32"/>
          <w:szCs w:val="32"/>
          <w:highlight w:val="white"/>
          <w:cs/>
        </w:rPr>
        <w:t>วัตถุประสงค์ของกระบวนการ</w:t>
      </w:r>
    </w:p>
    <w:p w14:paraId="00000005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เพื่อพัฒนารูปแบบการดูแลผู้ป่วยที่มีภาวะ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Alcohol withdrawal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มีความต่อเนื่องตั้งแต่ประเมินแรกรับ เฝ้าระวังขณะเกิดอาการ และการดูแลส่งต่อติดตามอาการ</w:t>
      </w:r>
    </w:p>
    <w:p w14:paraId="00000006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เพื่อลดอุบัติการณ์ความเสี่ยงในการดูแลผู้ป่วยที่มีภาวะ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Alcohol withdrawal</w:t>
      </w:r>
    </w:p>
    <w:p w14:paraId="00000007" w14:textId="77777777" w:rsidR="007E78E1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b/>
          <w:bCs/>
          <w:color w:val="333333"/>
          <w:sz w:val="32"/>
          <w:szCs w:val="32"/>
          <w:highlight w:val="white"/>
          <w:cs/>
        </w:rPr>
        <w:t>ผลสำเร็จ</w:t>
      </w:r>
    </w:p>
    <w:p w14:paraId="00000008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มีรูปแบบ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CNPG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การดูแลผู้ป่วยที่มีภาวะ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Alcohol withdrawal </w:t>
      </w:r>
    </w:p>
    <w:p w14:paraId="00000009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ผู้ป่วยระยะ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 Alcohol withdrawal 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ได้รับการประเมินโดยใช้เครื่องมือ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แบบประเมิน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Clinical Institute Withdrawal Assessment - Alcohol (CIWA - 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Ar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)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เพื่อเฝ้าติดตามระดับความรุนแรงของการอย่างต่อเนื่อง</w:t>
      </w:r>
    </w:p>
    <w:p w14:paraId="0000000A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การผูกมัดผู้ป่วยระยะ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 Alcohol withdrawal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มีการขออนุญาตญาติผู้ดูแลใกล้ชิด โดยอธิบายเหตุผลความจำเป็นในการผูกมัด มีการเซ็นยินยอม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(Informed Consent)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ในการผูกมัดทุกราย เพื่อป้องกันการร้องเรียนจากการผูกมัด</w:t>
      </w:r>
    </w:p>
    <w:p w14:paraId="0000000B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ผู้ป่วยและญาติได้รับความรู้เรื่องโทษจากการดื่มเครื่องดื่มแอลกอฮอล์ โดยเจ้าหน้าที่พยาบาลประจำตึกหรือเจ้าหน้าที่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คลินิค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สีขาว</w:t>
      </w:r>
    </w:p>
    <w:p w14:paraId="0000000C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ผู้ป่วยที่มีภาวะติดสุรา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(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Alcohol dependent)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ได้รับการดูแลส่งต่อและติดตาม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(follow up)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โดย</w:t>
      </w:r>
      <w:proofErr w:type="spellStart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คลินิค</w:t>
      </w:r>
      <w:proofErr w:type="spellEnd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สีขาว</w:t>
      </w:r>
    </w:p>
    <w:p w14:paraId="0000000D" w14:textId="77777777" w:rsidR="007E78E1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b/>
          <w:bCs/>
          <w:color w:val="333333"/>
          <w:sz w:val="32"/>
          <w:szCs w:val="32"/>
          <w:highlight w:val="white"/>
          <w:cs/>
        </w:rPr>
        <w:lastRenderedPageBreak/>
        <w:t>วิธีดำเนินการ</w:t>
      </w:r>
    </w:p>
    <w:p w14:paraId="0000000E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ประชุมหาแนวทางแก้ไขปัญหา ค้นหาปัญหา สาเหตุของอุบัติการณ์โดยการทำ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RCA </w:t>
      </w:r>
    </w:p>
    <w:p w14:paraId="0000000F" w14:textId="23061138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ศึกษาแนวทางจากงานวิจัยและหนังสือคู่มือรูปแบบการดูแลผู้มีปัญหาการดื่มสุราในระบบสุขภาพ</w:t>
      </w:r>
    </w:p>
    <w:p w14:paraId="00000010" w14:textId="77777777" w:rsidR="007E78E1" w:rsidRPr="007331BD" w:rsidRDefault="002F0C19">
      <w:pPr>
        <w:pBdr>
          <w:top w:val="nil"/>
          <w:left w:val="nil"/>
          <w:bottom w:val="nil"/>
          <w:right w:val="nil"/>
          <w:between w:val="nil"/>
        </w:pBdr>
        <w:spacing w:after="0"/>
        <w:ind w:left="111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 </w:t>
      </w:r>
      <w:proofErr w:type="gramStart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(</w:t>
      </w:r>
      <w:proofErr w:type="spellStart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i</w:t>
      </w:r>
      <w:proofErr w:type="spellEnd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-MAP Health)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ของแผนงานการพัฒนาระบบ รูปแบบ และวิธีการบำบัดรักษาผู้มีปัญหาการบริโภคสุราแบบ</w:t>
      </w:r>
      <w:proofErr w:type="spellStart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บูรณา</w:t>
      </w:r>
      <w:proofErr w:type="spellEnd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การ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(</w:t>
      </w:r>
      <w:proofErr w:type="spellStart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ผรส</w:t>
      </w:r>
      <w:proofErr w:type="spellEnd"/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.)</w:t>
      </w:r>
      <w:proofErr w:type="gramEnd"/>
    </w:p>
    <w:p w14:paraId="00000011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ทบทวนการคัดกรองโดยนำเครื่องมือแบบประเมิน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AUDIT 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มาปรับใช้ในการดูแลประเมินผู้ป่วยที่มีภาวะติดสุรา และแบบประเมินความรุนแรงอาการถอนพิษสุราด้วยเครื่องมือ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CIWA - 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Ar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</w:t>
      </w:r>
    </w:p>
    <w:p w14:paraId="00000012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color w:val="333333"/>
          <w:sz w:val="21"/>
          <w:szCs w:val="21"/>
          <w:highlight w:val="white"/>
        </w:rPr>
        <w:t> 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ทบทวนแนวทางการจัดให้ผู้ป่วยนอนเตียงที่มีไม้กั้นเตียงและยกกั้นเตียงตลอดเวลา จัดให้อยู่ใกล้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Nurse’s station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เฝ้าระวังอาการเปลี่ยนแปลงอย่างใกล้ชิด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 </w:t>
      </w:r>
    </w:p>
    <w:p w14:paraId="00000013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Bidi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333333"/>
          <w:sz w:val="21"/>
          <w:szCs w:val="21"/>
          <w:highlight w:val="white"/>
        </w:rPr>
        <w:t> 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ทบทวนแนวทางการผูกมัดในกรณีผู้ป่วยที่มีอาการเอะอะโวยวาย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 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มีการขออนุญาตญาติผู้ดูแลใกล้ชิด โดยอธิบายเหตุผลความจำเป็นในการผูกมัด มีการเซ็นยินยอม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>(Informed Consent)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ในการผูกมัดทุกราย เพื่อป้องกันการร้องเรียนจากการผูกมัด</w:t>
      </w:r>
    </w:p>
    <w:p w14:paraId="00000014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ทบทวนแนวทางการ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Consult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แพทย์จิตเวช และการส่งต่อ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คลินิค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สีขาว</w:t>
      </w:r>
    </w:p>
    <w:p w14:paraId="00000015" w14:textId="77777777" w:rsidR="007E78E1" w:rsidRPr="007331BD" w:rsidRDefault="002F0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ข้อกำหนดในการนำไปใช้</w:t>
      </w:r>
    </w:p>
    <w:p w14:paraId="00000016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 xml:space="preserve">ในการดำเนินการใช้แบบประเมิน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AUDIT, CIWA – 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Ar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มองว่าเป็นการเพิ่มภาระงานในการดูแลมากขึ้น ยังขาดความตระหนักในประโยชน์ที่จะได้รับในการดูแลผู้ป่วย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 xml:space="preserve">ให้ผ่านพ้นระยะ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</w:rPr>
        <w:t xml:space="preserve">Alcohol withdrawal </w:t>
      </w:r>
      <w:r w:rsidRPr="007331BD">
        <w:rPr>
          <w:rFonts w:asciiTheme="minorBidi" w:eastAsia="Angsana New" w:hAnsiTheme="minorBidi" w:cstheme="minorBidi"/>
          <w:color w:val="333333"/>
          <w:sz w:val="32"/>
          <w:szCs w:val="32"/>
          <w:highlight w:val="white"/>
          <w:cs/>
        </w:rPr>
        <w:t>โดยอาการไม่รุนแรง</w:t>
      </w:r>
    </w:p>
    <w:p w14:paraId="00000017" w14:textId="77777777" w:rsidR="007E78E1" w:rsidRPr="007331BD" w:rsidRDefault="002F0C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Bidi" w:eastAsia="Angsana New" w:hAnsiTheme="minorBidi" w:cstheme="minorBidi"/>
          <w:color w:val="000000"/>
          <w:sz w:val="32"/>
          <w:szCs w:val="32"/>
        </w:rPr>
      </w:pP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แบบประเมิน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CIWA – </w:t>
      </w:r>
      <w:proofErr w:type="spellStart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>Ar</w:t>
      </w:r>
      <w:proofErr w:type="spellEnd"/>
      <w:r w:rsidRPr="007331BD">
        <w:rPr>
          <w:rFonts w:asciiTheme="minorBidi" w:eastAsia="Angsana New" w:hAnsiTheme="minorBidi" w:cstheme="minorBidi"/>
          <w:color w:val="000000"/>
          <w:sz w:val="32"/>
          <w:szCs w:val="32"/>
        </w:rPr>
        <w:t xml:space="preserve"> </w:t>
      </w:r>
      <w:r w:rsidRPr="007331BD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ขาดความต่อเนื่องในการประเมินติดตามอาการผู้ป่วย</w:t>
      </w:r>
    </w:p>
    <w:p w14:paraId="00000018" w14:textId="77777777" w:rsidR="007E78E1" w:rsidRPr="007331BD" w:rsidRDefault="007E78E1">
      <w:pPr>
        <w:spacing w:after="0"/>
        <w:ind w:left="720"/>
        <w:jc w:val="both"/>
        <w:rPr>
          <w:rFonts w:asciiTheme="minorBidi" w:hAnsiTheme="minorBidi" w:cstheme="minorBidi"/>
          <w:color w:val="000000"/>
          <w:sz w:val="32"/>
          <w:szCs w:val="32"/>
        </w:rPr>
      </w:pPr>
    </w:p>
    <w:p w14:paraId="00000019" w14:textId="77777777" w:rsidR="007E78E1" w:rsidRDefault="007E78E1">
      <w:pPr>
        <w:jc w:val="center"/>
        <w:rPr>
          <w:b/>
          <w:sz w:val="32"/>
          <w:szCs w:val="32"/>
        </w:rPr>
      </w:pPr>
    </w:p>
    <w:sectPr w:rsidR="007E78E1" w:rsidSect="007331B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E2281"/>
    <w:multiLevelType w:val="multilevel"/>
    <w:tmpl w:val="E168ED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600" w:hanging="108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7E78E1"/>
    <w:rsid w:val="002F0C19"/>
    <w:rsid w:val="007331BD"/>
    <w:rsid w:val="007E78E1"/>
    <w:rsid w:val="007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B504F"/>
    <w:pPr>
      <w:ind w:left="720"/>
      <w:contextualSpacing/>
    </w:pPr>
  </w:style>
  <w:style w:type="table" w:styleId="a5">
    <w:name w:val="Table Grid"/>
    <w:basedOn w:val="a1"/>
    <w:uiPriority w:val="59"/>
    <w:rsid w:val="009D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B504F"/>
    <w:pPr>
      <w:ind w:left="720"/>
      <w:contextualSpacing/>
    </w:pPr>
  </w:style>
  <w:style w:type="table" w:styleId="a5">
    <w:name w:val="Table Grid"/>
    <w:basedOn w:val="a1"/>
    <w:uiPriority w:val="59"/>
    <w:rsid w:val="009D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cRiZpP2H+uStd/v8UXe/xZqLw==">AMUW2mXLcPFCcGdXuE0gpMgbITrZPryWpcCTwdb1nU4bN6n+GUIZnDzLIyik4E6Ua8ErHgyWm6rAqMmesa4XkwrVfvECtHtq7aEBtDZN/6l3tuQlvlT9jH4=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bbb</cp:lastModifiedBy>
  <cp:revision>2</cp:revision>
  <dcterms:created xsi:type="dcterms:W3CDTF">2022-06-28T03:40:00Z</dcterms:created>
  <dcterms:modified xsi:type="dcterms:W3CDTF">2022-06-28T03:40:00Z</dcterms:modified>
</cp:coreProperties>
</file>